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8AA9" w14:textId="38206BB2" w:rsidR="00762BB9" w:rsidRPr="007848E5" w:rsidRDefault="00762BB9" w:rsidP="007F2C47">
      <w:pPr>
        <w:spacing w:after="0" w:line="240" w:lineRule="auto"/>
        <w:ind w:firstLine="3402"/>
        <w:outlineLvl w:val="4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 xml:space="preserve">DECRETO Nº. </w:t>
      </w:r>
      <w:r w:rsidR="00155304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1</w:t>
      </w:r>
      <w:r w:rsidR="00421798" w:rsidRPr="007848E5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.</w:t>
      </w:r>
      <w:r w:rsidR="00155304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799</w:t>
      </w:r>
      <w:bookmarkStart w:id="0" w:name="_GoBack"/>
      <w:bookmarkEnd w:id="0"/>
      <w:r w:rsidRPr="007848E5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/20</w:t>
      </w:r>
      <w:r w:rsidR="00F20A21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25</w:t>
      </w:r>
    </w:p>
    <w:p w14:paraId="27540FF6" w14:textId="77777777" w:rsidR="007F2C47" w:rsidRPr="007848E5" w:rsidRDefault="007F2C47" w:rsidP="007848E5">
      <w:pPr>
        <w:spacing w:after="0" w:line="240" w:lineRule="auto"/>
        <w:outlineLvl w:val="4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</w:pPr>
    </w:p>
    <w:p w14:paraId="14A19A28" w14:textId="77777777" w:rsidR="004476D4" w:rsidRPr="004476D4" w:rsidRDefault="004476D4" w:rsidP="004476D4">
      <w:pPr>
        <w:spacing w:after="0" w:line="240" w:lineRule="auto"/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</w:pPr>
    </w:p>
    <w:p w14:paraId="0A7C5DC3" w14:textId="4DBC0751" w:rsidR="00421798" w:rsidRDefault="004476D4" w:rsidP="004476D4">
      <w:pPr>
        <w:spacing w:after="240" w:line="240" w:lineRule="auto"/>
        <w:ind w:left="3402"/>
        <w:jc w:val="both"/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</w:pPr>
      <w:proofErr w:type="gramStart"/>
      <w:r w:rsidRPr="004476D4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>DISPÕE SOBRE A DECLARAÇÃO DE VACÂNCIA E EXTINÇÃO DA RELAÇÃO JURÍDICO-ADMINISTRATIVA D</w:t>
      </w:r>
      <w:r w:rsidR="00775A23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 xml:space="preserve">E </w:t>
      </w:r>
      <w:r w:rsidRPr="004476D4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 xml:space="preserve">SERVIDOR DO MUNICÍPIO DE </w:t>
      </w:r>
      <w:r w:rsidR="00F20A21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>QUARTO CENTENÁRIO</w:t>
      </w:r>
      <w:r w:rsidRPr="004476D4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>,</w:t>
      </w:r>
      <w:r w:rsidR="00DA49FE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 xml:space="preserve"> </w:t>
      </w:r>
      <w:r w:rsidRPr="004476D4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 xml:space="preserve">TITULAR DE BENEFÍCIO PREVIDENCIÁRIO DE APOSENTADORIA </w:t>
      </w:r>
      <w:r w:rsidR="00F20A21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 xml:space="preserve">POR INVALIDEZ </w:t>
      </w:r>
      <w:r w:rsidRPr="004476D4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>DO REGIME GERAL DA PREVIDÊNCIA SOCIAL E DÁ OUTRAS PROVIDÊNCIAS”</w:t>
      </w:r>
      <w:proofErr w:type="gramEnd"/>
      <w:r w:rsidR="00083AB7">
        <w:rPr>
          <w:rFonts w:ascii="Arial Narrow" w:eastAsia="Times New Roman" w:hAnsi="Arial Narrow" w:cs="Tahoma"/>
          <w:b/>
          <w:bCs/>
          <w:sz w:val="24"/>
          <w:szCs w:val="24"/>
          <w:lang w:eastAsia="pt-BR"/>
        </w:rPr>
        <w:t>.</w:t>
      </w:r>
    </w:p>
    <w:p w14:paraId="0CA01CB1" w14:textId="77777777" w:rsidR="004476D4" w:rsidRPr="007848E5" w:rsidRDefault="004476D4" w:rsidP="004476D4">
      <w:pPr>
        <w:spacing w:after="0" w:line="240" w:lineRule="auto"/>
        <w:ind w:left="3402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EEA454F" w14:textId="3E962712" w:rsidR="00762BB9" w:rsidRPr="007848E5" w:rsidRDefault="00762BB9" w:rsidP="00421798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O SENHOR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WILSON AKIO ABE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PREFEITO </w:t>
      </w:r>
      <w:r w:rsidR="007F2C47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DO 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MUNIC</w:t>
      </w:r>
      <w:r w:rsidR="007F2C47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ÍPIO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DE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QUARTO CENTENÁRIO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ESTADO DO PARANÁ, NO USO DAS ATRIBUIÇÕES </w:t>
      </w:r>
      <w:r w:rsidR="007B5C5A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CONFERIDAS PEL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</w:t>
      </w:r>
      <w:r w:rsidR="007B5C5A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LEI ORGÂNICA DO MUNICÍPIO</w:t>
      </w:r>
      <w:r w:rsidR="00083AB7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;</w:t>
      </w:r>
    </w:p>
    <w:p w14:paraId="01720778" w14:textId="440915AE" w:rsidR="007848E5" w:rsidRDefault="007848E5" w:rsidP="007848E5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</w:pPr>
    </w:p>
    <w:p w14:paraId="5009F7D8" w14:textId="64D95084" w:rsidR="009A7A95" w:rsidRDefault="009A7A95" w:rsidP="00395E12">
      <w:pPr>
        <w:spacing w:after="12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Considerando o artigo</w:t>
      </w:r>
      <w:r w:rsidR="00DB328C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3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9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inciso </w:t>
      </w:r>
      <w:r w:rsidR="009026F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V, 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da Lei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Municipal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nº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34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de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05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de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setembro</w:t>
      </w:r>
      <w:r w:rsidR="009026F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de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1997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que </w:t>
      </w:r>
      <w:r w:rsidRPr="009A7A9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prevê a vacância do cargo público em caso de aposentadoria do servidor;</w:t>
      </w:r>
    </w:p>
    <w:p w14:paraId="0FDE0AFF" w14:textId="11B3B244" w:rsidR="00946535" w:rsidRPr="00946535" w:rsidRDefault="00946535" w:rsidP="00395E12">
      <w:pPr>
        <w:spacing w:after="12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94653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Considerando a inexistência de discricionariedade do gestor no que tange à observância da</w:t>
      </w:r>
      <w:r w:rsidR="00395E12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 w:rsidRPr="0094653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legislação que determina a vacância do cargo em caso de aposentadoria</w:t>
      </w:r>
      <w:r w:rsid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,</w:t>
      </w:r>
    </w:p>
    <w:p w14:paraId="1C9B5670" w14:textId="77777777" w:rsidR="00996DC6" w:rsidRPr="00996DC6" w:rsidRDefault="00996DC6" w:rsidP="007848E5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</w:p>
    <w:p w14:paraId="78E9E95E" w14:textId="77777777" w:rsidR="00762BB9" w:rsidRPr="007848E5" w:rsidRDefault="00762BB9" w:rsidP="004476D4">
      <w:pPr>
        <w:spacing w:after="0" w:line="240" w:lineRule="auto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DECRETA:</w:t>
      </w:r>
    </w:p>
    <w:p w14:paraId="6FDBAC5C" w14:textId="7FF2CE90" w:rsidR="007848E5" w:rsidRPr="007848E5" w:rsidRDefault="007848E5" w:rsidP="00996DC6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</w:p>
    <w:p w14:paraId="3DE0B35C" w14:textId="3524E23A" w:rsidR="001F1AFC" w:rsidRDefault="007848E5" w:rsidP="0027268B">
      <w:pPr>
        <w:spacing w:after="24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Art. 1º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 w:rsidR="00996DC6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Fica </w:t>
      </w:r>
      <w:r w:rsid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declarada a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vacância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, com base no art. 3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9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inciso 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V, da Lei Municipal nº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34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/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1997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(Regime Jurídico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Único 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dos Servidores de </w:t>
      </w:r>
      <w:r w:rsidR="00F20A21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Quarto Centenário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)</w:t>
      </w:r>
      <w:r w:rsidR="001F1AFC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,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do cargo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público</w:t>
      </w:r>
      <w:r w:rsidR="00336F5A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ocupado pela servidora </w:t>
      </w:r>
      <w:r w:rsidR="00CD399B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DIRCE HILDEBRANDE DE PAULA</w:t>
      </w:r>
      <w:r w:rsidR="00336F5A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</w:t>
      </w:r>
      <w:r w:rsidR="00CD399B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ajudante geral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,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do quadro </w:t>
      </w:r>
      <w:r w:rsidR="001A369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geral de servidores do município de Quarto Centenário/PR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.</w:t>
      </w:r>
    </w:p>
    <w:p w14:paraId="49F297D1" w14:textId="33EABC53" w:rsidR="004476D4" w:rsidRDefault="001F1AFC" w:rsidP="004476D4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1F1AFC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Parágrafo único.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Em consequência, fica declarada a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extinção da relação jurídico-administrativa 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d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servidor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titular 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acima identificada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, 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em razão da ocorrência de 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aposentadoria</w:t>
      </w:r>
      <w:r w:rsidR="00214A7F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por invalidez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 w:rsidR="000B1120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obtida na forma </w:t>
      </w:r>
      <w:r w:rsidR="004476D4" w:rsidRPr="004476D4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do Regime Geral da Previdência Social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(RGPS).</w:t>
      </w:r>
    </w:p>
    <w:p w14:paraId="5CD8A45D" w14:textId="77777777" w:rsidR="004476D4" w:rsidRDefault="004476D4" w:rsidP="004476D4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</w:p>
    <w:p w14:paraId="2D4245C2" w14:textId="6C788599" w:rsidR="009A6EC6" w:rsidRPr="009A6EC6" w:rsidRDefault="007848E5" w:rsidP="004476D4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 xml:space="preserve">Art. 2º </w:t>
      </w:r>
      <w:r w:rsidR="001F1AFC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Fica a Secretaria Administração Municipal autorizada a proceder ao pagamento de eventuais verbas rescisórias devidas </w:t>
      </w:r>
      <w:r w:rsidR="009E684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à</w:t>
      </w:r>
      <w:r w:rsidR="001F1AFC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servidor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a</w:t>
      </w:r>
      <w:r w:rsidR="009E684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municipal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, na forma da lei.</w:t>
      </w:r>
    </w:p>
    <w:p w14:paraId="21EAAE65" w14:textId="77777777" w:rsidR="009A6EC6" w:rsidRDefault="009A6EC6" w:rsidP="007848E5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</w:pPr>
    </w:p>
    <w:p w14:paraId="748852D0" w14:textId="4F477CBD" w:rsidR="007848E5" w:rsidRPr="007848E5" w:rsidRDefault="009A6EC6" w:rsidP="007848E5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9A6EC6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pt-BR"/>
        </w:rPr>
        <w:t>Art. 3º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 w:rsidR="007848E5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Este decreto entra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rá</w:t>
      </w:r>
      <w:r w:rsidR="007848E5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em vigor na data de sua publicação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.</w:t>
      </w:r>
    </w:p>
    <w:p w14:paraId="79C29EED" w14:textId="77777777" w:rsidR="000A6964" w:rsidRPr="007848E5" w:rsidRDefault="000A6964" w:rsidP="007848E5">
      <w:pPr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</w:p>
    <w:p w14:paraId="20F119AB" w14:textId="22967227" w:rsidR="007B5C5A" w:rsidRPr="007848E5" w:rsidRDefault="00762BB9" w:rsidP="007B5C5A">
      <w:pPr>
        <w:spacing w:after="0" w:line="36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PAÇO MUNICIPAL “</w:t>
      </w:r>
      <w:r w:rsidR="00214A7F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29 DE ABRIL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”</w:t>
      </w:r>
      <w:r w:rsidR="007B5C5A"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,</w:t>
      </w:r>
    </w:p>
    <w:p w14:paraId="2A9DD025" w14:textId="4A46E439" w:rsidR="00762BB9" w:rsidRPr="007848E5" w:rsidRDefault="00762BB9" w:rsidP="007B5C5A">
      <w:pPr>
        <w:spacing w:after="0" w:line="36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Em </w:t>
      </w:r>
      <w:r w:rsidR="00214A7F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21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de </w:t>
      </w:r>
      <w:r w:rsidR="00214A7F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janeiro</w:t>
      </w:r>
      <w:r w:rsidR="00775A23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 xml:space="preserve"> 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de 202</w:t>
      </w:r>
      <w:r w:rsidR="00214A7F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5</w:t>
      </w:r>
      <w:r w:rsidRPr="007848E5"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  <w:t>.</w:t>
      </w:r>
    </w:p>
    <w:p w14:paraId="7FC8199C" w14:textId="3297A44B" w:rsidR="00762BB9" w:rsidRPr="007848E5" w:rsidRDefault="00762BB9" w:rsidP="007F2C47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</w:p>
    <w:p w14:paraId="7E868F6F" w14:textId="77777777" w:rsidR="007B5C5A" w:rsidRPr="007848E5" w:rsidRDefault="007B5C5A" w:rsidP="007F2C47">
      <w:pPr>
        <w:spacing w:after="0" w:line="240" w:lineRule="auto"/>
        <w:ind w:firstLine="3402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t-BR"/>
        </w:rPr>
      </w:pPr>
    </w:p>
    <w:p w14:paraId="3879165E" w14:textId="5196C5C5" w:rsidR="00762BB9" w:rsidRPr="007848E5" w:rsidRDefault="00762BB9" w:rsidP="007F2C47">
      <w:pPr>
        <w:spacing w:after="0" w:line="240" w:lineRule="auto"/>
        <w:rPr>
          <w:rFonts w:ascii="Arial Narrow" w:hAnsi="Arial Narrow" w:cs="Tahoma"/>
        </w:rPr>
      </w:pPr>
    </w:p>
    <w:p w14:paraId="202E0A7C" w14:textId="77777777" w:rsidR="007B5C5A" w:rsidRPr="007848E5" w:rsidRDefault="007B5C5A" w:rsidP="007F2C47">
      <w:pPr>
        <w:spacing w:after="0" w:line="240" w:lineRule="auto"/>
        <w:rPr>
          <w:rFonts w:ascii="Arial Narrow" w:hAnsi="Arial Narrow" w:cs="Tahoma"/>
        </w:rPr>
      </w:pPr>
    </w:p>
    <w:p w14:paraId="185BECDE" w14:textId="61467558" w:rsidR="00762BB9" w:rsidRPr="007848E5" w:rsidRDefault="00214A7F" w:rsidP="007F2C47">
      <w:pPr>
        <w:spacing w:after="0" w:line="240" w:lineRule="auto"/>
        <w:jc w:val="center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WILSON AKIO ABE</w:t>
      </w:r>
    </w:p>
    <w:p w14:paraId="304CCDD3" w14:textId="0DE01C0F" w:rsidR="00762BB9" w:rsidRDefault="00762BB9" w:rsidP="007F2C47">
      <w:pPr>
        <w:spacing w:after="0" w:line="240" w:lineRule="auto"/>
        <w:jc w:val="center"/>
        <w:rPr>
          <w:rFonts w:ascii="Arial Narrow" w:hAnsi="Arial Narrow" w:cs="Tahoma"/>
          <w:b/>
          <w:bCs/>
          <w:sz w:val="24"/>
          <w:szCs w:val="24"/>
        </w:rPr>
      </w:pPr>
      <w:r w:rsidRPr="007848E5">
        <w:rPr>
          <w:rFonts w:ascii="Arial Narrow" w:hAnsi="Arial Narrow" w:cs="Tahoma"/>
          <w:b/>
          <w:bCs/>
          <w:sz w:val="24"/>
          <w:szCs w:val="24"/>
        </w:rPr>
        <w:t xml:space="preserve">Prefeito do Município de </w:t>
      </w:r>
      <w:r w:rsidR="00214A7F">
        <w:rPr>
          <w:rFonts w:ascii="Arial Narrow" w:hAnsi="Arial Narrow" w:cs="Tahoma"/>
          <w:b/>
          <w:bCs/>
          <w:sz w:val="24"/>
          <w:szCs w:val="24"/>
        </w:rPr>
        <w:t>Quarto Centenário</w:t>
      </w:r>
    </w:p>
    <w:sectPr w:rsidR="00762BB9" w:rsidSect="007848E5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5671"/>
    <w:multiLevelType w:val="hybridMultilevel"/>
    <w:tmpl w:val="1F7E6A6A"/>
    <w:lvl w:ilvl="0" w:tplc="C8282FC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B64CF"/>
    <w:multiLevelType w:val="hybridMultilevel"/>
    <w:tmpl w:val="83C46518"/>
    <w:lvl w:ilvl="0" w:tplc="B84851A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83D9E"/>
    <w:multiLevelType w:val="hybridMultilevel"/>
    <w:tmpl w:val="017E9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91E73"/>
    <w:multiLevelType w:val="hybridMultilevel"/>
    <w:tmpl w:val="BAEA3538"/>
    <w:lvl w:ilvl="0" w:tplc="0A305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C6A21"/>
    <w:multiLevelType w:val="hybridMultilevel"/>
    <w:tmpl w:val="D386683C"/>
    <w:lvl w:ilvl="0" w:tplc="1CE49C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377EC"/>
    <w:multiLevelType w:val="hybridMultilevel"/>
    <w:tmpl w:val="6C86E0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B9"/>
    <w:rsid w:val="000252CC"/>
    <w:rsid w:val="00044B50"/>
    <w:rsid w:val="000678EA"/>
    <w:rsid w:val="000752C2"/>
    <w:rsid w:val="00083AB7"/>
    <w:rsid w:val="000A6964"/>
    <w:rsid w:val="000B1120"/>
    <w:rsid w:val="000D0585"/>
    <w:rsid w:val="00155304"/>
    <w:rsid w:val="0017661B"/>
    <w:rsid w:val="001A3690"/>
    <w:rsid w:val="001A5F83"/>
    <w:rsid w:val="001F1AFC"/>
    <w:rsid w:val="0020484D"/>
    <w:rsid w:val="00214A7F"/>
    <w:rsid w:val="00223912"/>
    <w:rsid w:val="00246AE7"/>
    <w:rsid w:val="0027268B"/>
    <w:rsid w:val="0028543B"/>
    <w:rsid w:val="002B744E"/>
    <w:rsid w:val="002D39EA"/>
    <w:rsid w:val="002F049A"/>
    <w:rsid w:val="003001E6"/>
    <w:rsid w:val="0030556A"/>
    <w:rsid w:val="00316DA0"/>
    <w:rsid w:val="00336F5A"/>
    <w:rsid w:val="0039178C"/>
    <w:rsid w:val="00395E12"/>
    <w:rsid w:val="003D2E9C"/>
    <w:rsid w:val="003F4864"/>
    <w:rsid w:val="00421798"/>
    <w:rsid w:val="00422F37"/>
    <w:rsid w:val="004476D4"/>
    <w:rsid w:val="00473A1C"/>
    <w:rsid w:val="00501B97"/>
    <w:rsid w:val="0056611B"/>
    <w:rsid w:val="00596416"/>
    <w:rsid w:val="006120B8"/>
    <w:rsid w:val="0064359B"/>
    <w:rsid w:val="006465CF"/>
    <w:rsid w:val="006707A7"/>
    <w:rsid w:val="0068202B"/>
    <w:rsid w:val="006F1127"/>
    <w:rsid w:val="00762BB9"/>
    <w:rsid w:val="00775A23"/>
    <w:rsid w:val="007848E5"/>
    <w:rsid w:val="007A2601"/>
    <w:rsid w:val="007A3A66"/>
    <w:rsid w:val="007B3B67"/>
    <w:rsid w:val="007B5C5A"/>
    <w:rsid w:val="007E1FA7"/>
    <w:rsid w:val="007E63F3"/>
    <w:rsid w:val="007F2C47"/>
    <w:rsid w:val="008340BC"/>
    <w:rsid w:val="008942AC"/>
    <w:rsid w:val="009026F0"/>
    <w:rsid w:val="0091072B"/>
    <w:rsid w:val="00946535"/>
    <w:rsid w:val="0096281D"/>
    <w:rsid w:val="00996385"/>
    <w:rsid w:val="00996DC6"/>
    <w:rsid w:val="009A454D"/>
    <w:rsid w:val="009A6EC6"/>
    <w:rsid w:val="009A7A95"/>
    <w:rsid w:val="009E6843"/>
    <w:rsid w:val="00A15FF4"/>
    <w:rsid w:val="00A7726B"/>
    <w:rsid w:val="00AA230C"/>
    <w:rsid w:val="00AC00CE"/>
    <w:rsid w:val="00AE1F92"/>
    <w:rsid w:val="00AF5605"/>
    <w:rsid w:val="00AF74DB"/>
    <w:rsid w:val="00B300AF"/>
    <w:rsid w:val="00B3795D"/>
    <w:rsid w:val="00BC743A"/>
    <w:rsid w:val="00C85D5F"/>
    <w:rsid w:val="00CA32AE"/>
    <w:rsid w:val="00CC4CBD"/>
    <w:rsid w:val="00CD399B"/>
    <w:rsid w:val="00CD64D2"/>
    <w:rsid w:val="00D14326"/>
    <w:rsid w:val="00D23AF7"/>
    <w:rsid w:val="00D3468F"/>
    <w:rsid w:val="00DA49FE"/>
    <w:rsid w:val="00DA67D9"/>
    <w:rsid w:val="00DB328C"/>
    <w:rsid w:val="00DD4FBF"/>
    <w:rsid w:val="00DE6AC8"/>
    <w:rsid w:val="00E32556"/>
    <w:rsid w:val="00EB02DE"/>
    <w:rsid w:val="00F10488"/>
    <w:rsid w:val="00F20A21"/>
    <w:rsid w:val="00F42B5F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4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B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1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5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B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1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Ellen-Tributos</dc:creator>
  <cp:lastModifiedBy>User</cp:lastModifiedBy>
  <cp:revision>7</cp:revision>
  <cp:lastPrinted>2022-08-05T17:50:00Z</cp:lastPrinted>
  <dcterms:created xsi:type="dcterms:W3CDTF">2025-01-21T13:44:00Z</dcterms:created>
  <dcterms:modified xsi:type="dcterms:W3CDTF">2025-01-21T14:31:00Z</dcterms:modified>
</cp:coreProperties>
</file>